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06" w:rsidRDefault="00023C06" w:rsidP="00023C0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25AD1" w:rsidRDefault="00B25AD1" w:rsidP="00B25AD1">
      <w:pPr>
        <w:pStyle w:val="a6"/>
        <w:tabs>
          <w:tab w:val="left" w:pos="4755"/>
        </w:tabs>
        <w:contextualSpacing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681.2pt">
            <v:imagedata r:id="rId5" o:title="самообследование"/>
          </v:shape>
        </w:pict>
      </w:r>
    </w:p>
    <w:p w:rsidR="00B25AD1" w:rsidRDefault="00B25AD1" w:rsidP="00B25AD1">
      <w:pPr>
        <w:pStyle w:val="a6"/>
        <w:tabs>
          <w:tab w:val="left" w:pos="4755"/>
        </w:tabs>
        <w:contextualSpacing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</w:p>
    <w:p w:rsidR="00C87F4A" w:rsidRDefault="00C87F4A" w:rsidP="00B20C6B">
      <w:pPr>
        <w:pStyle w:val="a6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</w:p>
    <w:p w:rsidR="00B20C6B" w:rsidRPr="00C87F4A" w:rsidRDefault="00B20C6B" w:rsidP="00B20C6B">
      <w:pPr>
        <w:pStyle w:val="a6"/>
        <w:rPr>
          <w:sz w:val="28"/>
          <w:szCs w:val="28"/>
        </w:rPr>
      </w:pPr>
      <w:r w:rsidRPr="00F41168">
        <w:rPr>
          <w:rFonts w:ascii="Times New Roman" w:hAnsi="Times New Roman"/>
          <w:b/>
          <w:sz w:val="28"/>
          <w:szCs w:val="28"/>
        </w:rPr>
        <w:t>Содержание:</w:t>
      </w:r>
    </w:p>
    <w:p w:rsidR="00B20C6B" w:rsidRPr="00B20C6B" w:rsidRDefault="00B20C6B" w:rsidP="00B20C6B">
      <w:pPr>
        <w:pStyle w:val="a6"/>
        <w:rPr>
          <w:rFonts w:ascii="Times New Roman" w:hAnsi="Times New Roman"/>
          <w:sz w:val="28"/>
          <w:szCs w:val="28"/>
        </w:rPr>
      </w:pPr>
      <w:r w:rsidRPr="00B20C6B">
        <w:rPr>
          <w:rFonts w:ascii="Times New Roman" w:hAnsi="Times New Roman"/>
          <w:sz w:val="28"/>
          <w:szCs w:val="28"/>
        </w:rPr>
        <w:t> </w:t>
      </w:r>
    </w:p>
    <w:p w:rsidR="00B20C6B" w:rsidRPr="00F41168" w:rsidRDefault="00B20C6B" w:rsidP="00B20C6B">
      <w:pPr>
        <w:pStyle w:val="a6"/>
        <w:rPr>
          <w:rFonts w:ascii="Times New Roman" w:hAnsi="Times New Roman"/>
          <w:b/>
          <w:sz w:val="28"/>
          <w:szCs w:val="28"/>
        </w:rPr>
      </w:pPr>
      <w:r w:rsidRPr="00F41168">
        <w:rPr>
          <w:rFonts w:ascii="Times New Roman" w:hAnsi="Times New Roman"/>
          <w:b/>
          <w:iCs/>
          <w:sz w:val="28"/>
          <w:szCs w:val="28"/>
        </w:rPr>
        <w:t xml:space="preserve"> Аналитическая часть.</w:t>
      </w:r>
    </w:p>
    <w:p w:rsidR="00B20C6B" w:rsidRPr="00B20C6B" w:rsidRDefault="00F41168" w:rsidP="00B20C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0C6B" w:rsidRPr="00B20C6B">
        <w:rPr>
          <w:rFonts w:ascii="Times New Roman" w:hAnsi="Times New Roman"/>
          <w:sz w:val="28"/>
          <w:szCs w:val="28"/>
        </w:rPr>
        <w:t xml:space="preserve"> Общие сведения о МБДОУ.</w:t>
      </w:r>
    </w:p>
    <w:p w:rsidR="00B20C6B" w:rsidRPr="00B20C6B" w:rsidRDefault="00F41168" w:rsidP="00B20C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0C6B" w:rsidRPr="00B20C6B">
        <w:rPr>
          <w:rFonts w:ascii="Times New Roman" w:hAnsi="Times New Roman"/>
          <w:sz w:val="28"/>
          <w:szCs w:val="28"/>
        </w:rPr>
        <w:t xml:space="preserve"> Система управления МБДОУ.</w:t>
      </w:r>
    </w:p>
    <w:p w:rsidR="00B20C6B" w:rsidRPr="00023C06" w:rsidRDefault="00B20C6B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6B">
        <w:rPr>
          <w:rFonts w:ascii="Times New Roman" w:hAnsi="Times New Roman" w:cs="Times New Roman"/>
          <w:sz w:val="28"/>
          <w:szCs w:val="28"/>
        </w:rPr>
        <w:t>3</w:t>
      </w:r>
      <w:r w:rsidRPr="00B2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образовательной деятельности</w:t>
      </w:r>
    </w:p>
    <w:p w:rsidR="00B20C6B" w:rsidRPr="00B20C6B" w:rsidRDefault="00B20C6B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C6B">
        <w:rPr>
          <w:rFonts w:ascii="Times New Roman" w:hAnsi="Times New Roman" w:cs="Times New Roman"/>
          <w:sz w:val="28"/>
          <w:szCs w:val="28"/>
        </w:rPr>
        <w:t>4</w:t>
      </w:r>
      <w:r w:rsidRPr="00B20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0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функционирования внутренней системы оценки</w:t>
      </w:r>
    </w:p>
    <w:p w:rsidR="00B20C6B" w:rsidRDefault="00B20C6B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образования</w:t>
      </w:r>
    </w:p>
    <w:p w:rsidR="00B20C6B" w:rsidRPr="00B20C6B" w:rsidRDefault="00B20C6B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Оценка кадрового обеспечения</w:t>
      </w:r>
    </w:p>
    <w:p w:rsidR="00B20C6B" w:rsidRPr="00B20C6B" w:rsidRDefault="00B20C6B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Оценка учебно-методического и библиотечно-информационного обеспечения</w:t>
      </w:r>
    </w:p>
    <w:p w:rsidR="00B20C6B" w:rsidRPr="00B20C6B" w:rsidRDefault="00F41168" w:rsidP="00B20C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0C6B" w:rsidRPr="00B20C6B">
        <w:rPr>
          <w:rFonts w:ascii="Times New Roman" w:hAnsi="Times New Roman"/>
          <w:sz w:val="28"/>
          <w:szCs w:val="28"/>
        </w:rPr>
        <w:t> Качество материально-технической базы.</w:t>
      </w:r>
    </w:p>
    <w:p w:rsidR="00F41168" w:rsidRPr="00456CF7" w:rsidRDefault="00B20C6B" w:rsidP="00F41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AB">
        <w:rPr>
          <w:rFonts w:ascii="Times New Roman" w:hAnsi="Times New Roman"/>
          <w:b/>
          <w:i/>
          <w:iCs/>
          <w:color w:val="FF0000"/>
          <w:sz w:val="28"/>
          <w:szCs w:val="28"/>
        </w:rPr>
        <w:t> </w:t>
      </w:r>
      <w:r w:rsidR="00F41168"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B20C6B" w:rsidRPr="00B147AB" w:rsidRDefault="00B20C6B" w:rsidP="00B20C6B">
      <w:pPr>
        <w:pStyle w:val="a6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20C6B" w:rsidRPr="00432645" w:rsidRDefault="00B20C6B" w:rsidP="00B20C6B">
      <w:pPr>
        <w:pStyle w:val="a6"/>
        <w:rPr>
          <w:sz w:val="28"/>
          <w:szCs w:val="28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B2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C6B" w:rsidRDefault="00B20C6B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68D" w:rsidRPr="008D0A9A" w:rsidRDefault="00FB368D" w:rsidP="008D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Отчет о результатах </w:t>
      </w:r>
      <w:proofErr w:type="spellStart"/>
      <w:r w:rsidRPr="00FB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F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муниципального бюджетного дошкольного образовательного учреждения</w:t>
      </w:r>
      <w:r w:rsidRPr="008D0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D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«Детский сад «Чайка» города Аркадака</w:t>
      </w:r>
      <w:r w:rsidRPr="008D0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Саратовской области </w:t>
      </w:r>
      <w:r w:rsidRPr="008D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C44E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18</w:t>
      </w:r>
      <w:r w:rsidRPr="008D0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643FE8" w:rsidRDefault="00643FE8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68D" w:rsidRPr="00FB368D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643FE8" w:rsidRDefault="00643FE8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68D" w:rsidRPr="00FB368D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7502"/>
      </w:tblGrid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 </w:t>
            </w:r>
            <w:r w:rsidRPr="00023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45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proofErr w:type="gramStart"/>
            <w:r w:rsidRPr="00023C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Муниципальное бюджетное дошкольное образовательное учреждение «Детский сад «Чайка» г</w:t>
            </w:r>
            <w:r w:rsidR="00456CF7" w:rsidRPr="00023C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023C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Аркадака</w:t>
            </w:r>
            <w:r w:rsidRPr="0002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Саратовской области</w:t>
            </w:r>
            <w:r w:rsidRPr="00023C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(МБДОУ «Детский сад «Чайка» г. Аркадака)</w:t>
            </w:r>
            <w:proofErr w:type="gramEnd"/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Кольдюшова</w:t>
            </w:r>
            <w:proofErr w:type="spellEnd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412210, Саратовская обл., г. Аркадак, ул. Ленина, д. 139</w:t>
            </w:r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8(84542)4</w:t>
            </w:r>
            <w:r w:rsidR="00456CF7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  <w:r w:rsidR="00456CF7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</w:t>
            </w:r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chaikambdou@mail.ru</w:t>
            </w:r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F76C3" w:rsidP="00FF7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23C06">
              <w:rPr>
                <w:rFonts w:ascii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 w:rsidRPr="00023C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B368D" w:rsidRPr="00023C06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F76C3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1974</w:t>
            </w:r>
            <w:r w:rsidR="00FB368D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B368D" w:rsidRPr="00023C06" w:rsidTr="00F41168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F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r w:rsidR="00122D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F76C3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02.03.2017г. №3309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серия №</w:t>
            </w:r>
            <w:r w:rsidR="00FF76C3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64ЛО1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0003</w:t>
            </w:r>
            <w:r w:rsidR="00FF76C3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075</w:t>
            </w:r>
          </w:p>
        </w:tc>
      </w:tr>
      <w:tr w:rsidR="00F41168" w:rsidRPr="00023C06" w:rsidTr="00F4116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168" w:rsidRPr="00023C06" w:rsidRDefault="00F41168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168" w:rsidRPr="00023C06" w:rsidRDefault="00EF362A" w:rsidP="00FF76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www</w:t>
            </w:r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chaikaarkadak</w:t>
            </w:r>
            <w:proofErr w:type="spellEnd"/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okis</w:t>
            </w:r>
            <w:proofErr w:type="spellEnd"/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C256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B368D" w:rsidRPr="00023C06" w:rsidTr="00FB36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68D" w:rsidRPr="00023C06" w:rsidRDefault="00FB368D" w:rsidP="004E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 бюджетное дошкольное образовательное учреждение «Детский сад</w:t>
      </w:r>
      <w:r w:rsidR="00FF76C3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«Чайка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8D0A9A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Аркадака</w:t>
      </w:r>
      <w:r w:rsidR="008D0A9A" w:rsidRPr="00023C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D0A9A" w:rsidRPr="00023C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Саратовской </w:t>
      </w:r>
      <w:r w:rsidR="008D0A9A" w:rsidRPr="00023C0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  <w:lang w:eastAsia="ru-RU"/>
        </w:rPr>
        <w:t>области</w:t>
      </w:r>
      <w:r w:rsidR="004E0EB6" w:rsidRPr="00023C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(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– Детский сад) расположено в жилом районе города. Здание Детского сада построено по типовому проекту. </w:t>
      </w:r>
      <w:r w:rsidR="00456CF7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Проектная наполняемость на </w:t>
      </w:r>
      <w:r w:rsidR="004E0EB6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мест. Общая площадь здания 1832 кв. м, из них площадь </w:t>
      </w:r>
      <w:r w:rsidR="00456CF7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помещений, используемых непосредственно для нужд образовательного процесса, 1753 кв. м.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B368D" w:rsidRPr="00023C06" w:rsidRDefault="00FB368D" w:rsidP="0045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Режим работы Детского сада</w:t>
      </w:r>
    </w:p>
    <w:p w:rsidR="00456CF7" w:rsidRPr="00023C06" w:rsidRDefault="00FB368D" w:rsidP="0045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456CF7" w:rsidRPr="00023C06" w:rsidRDefault="00FB368D" w:rsidP="0045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Длительность пребывания детей в группах – 1</w:t>
      </w:r>
      <w:r w:rsidR="00456CF7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часов. </w:t>
      </w:r>
    </w:p>
    <w:p w:rsidR="00FB368D" w:rsidRPr="00023C06" w:rsidRDefault="00FB368D" w:rsidP="0045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Режим работы групп – с </w:t>
      </w:r>
      <w:r w:rsidR="00456CF7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7:30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18:00.</w:t>
      </w:r>
    </w:p>
    <w:p w:rsidR="00643FE8" w:rsidRDefault="00643FE8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68D" w:rsidRPr="00023C06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Система управления организации</w:t>
      </w:r>
    </w:p>
    <w:p w:rsidR="00385242" w:rsidRPr="00385242" w:rsidRDefault="00385242" w:rsidP="00385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42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385242" w:rsidRPr="00385242" w:rsidRDefault="00385242" w:rsidP="00385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42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FB368D" w:rsidRPr="00023C06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4"/>
        <w:gridCol w:w="7278"/>
      </w:tblGrid>
      <w:tr w:rsidR="00FB368D" w:rsidRPr="00023C06" w:rsidTr="00FB36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FB368D" w:rsidRPr="00023C06" w:rsidTr="00FB36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Контролирует работу и обеспечивает </w:t>
            </w:r>
            <w:proofErr w:type="gramStart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эффективное</w:t>
            </w:r>
            <w:proofErr w:type="gramEnd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FB368D" w:rsidRPr="00023C06" w:rsidTr="00FB368D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471389" w:rsidP="0047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Совет родителей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9C" w:rsidRPr="00C2569C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69C">
              <w:rPr>
                <w:rFonts w:ascii="Times New Roman" w:hAnsi="Times New Roman"/>
                <w:sz w:val="28"/>
                <w:szCs w:val="28"/>
              </w:rPr>
              <w:t>Совет родителей обеспечивает постоянную и систематическую связь</w:t>
            </w:r>
            <w:r w:rsidRPr="00C2569C">
              <w:rPr>
                <w:rFonts w:ascii="Times New Roman" w:hAnsi="Times New Roman"/>
              </w:rPr>
              <w:t xml:space="preserve"> </w:t>
            </w:r>
            <w:r w:rsidRPr="00C2569C">
              <w:rPr>
                <w:rFonts w:ascii="Times New Roman" w:hAnsi="Times New Roman"/>
                <w:sz w:val="28"/>
                <w:szCs w:val="28"/>
              </w:rPr>
              <w:t>Учреждения с родительской общественностью, содействует педагогической пропаганде для успешного решения задач воспитания и развития детей дошкольного возраста. Деятельность совета родителей регламентируется Уставом МБДОУ и соответству</w:t>
            </w:r>
            <w:r>
              <w:rPr>
                <w:rFonts w:ascii="Times New Roman" w:hAnsi="Times New Roman"/>
                <w:sz w:val="28"/>
                <w:szCs w:val="28"/>
              </w:rPr>
              <w:t>ющим локальным актом Учреждения:</w:t>
            </w:r>
            <w:r w:rsidRPr="00C2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68D" w:rsidRPr="00023C06" w:rsidRDefault="00403E31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-защита прав и интересов воспитанников;</w:t>
            </w:r>
          </w:p>
          <w:p w:rsidR="00403E31" w:rsidRPr="00023C06" w:rsidRDefault="00403E31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-защита прав и интересов родителей;</w:t>
            </w:r>
          </w:p>
          <w:p w:rsidR="00403E31" w:rsidRPr="00023C06" w:rsidRDefault="00403E31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-содействует в совершенствовании условий для осуществления образовательного процесса;</w:t>
            </w:r>
          </w:p>
          <w:p w:rsidR="00403E31" w:rsidRPr="00023C06" w:rsidRDefault="00403E31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-рассмотрение основных направлений развития детского сада.</w:t>
            </w:r>
          </w:p>
        </w:tc>
      </w:tr>
      <w:tr w:rsidR="00FB368D" w:rsidRPr="00023C06" w:rsidTr="00FB368D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Учреждения осуществляет управление педагогической деятельностью и формируется сроком на 1 год.</w:t>
            </w:r>
          </w:p>
          <w:p w:rsidR="00C2569C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 xml:space="preserve">Членами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являются все педагогические работники Учреждения. 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избирает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председателя, который выполняет функции по организации работы совета, и ведёт заседания, секретаря,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который выполняет функции по фиксации решений совета.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 xml:space="preserve">- определяет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воспитательно-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образовательной деятельности Учреждения;</w:t>
            </w:r>
          </w:p>
          <w:p w:rsidR="00C2569C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рассматривает  и принимает Образовательную программу, годовой план работы Учреждения, годовой учебный план, режим образовательной деятельности;</w:t>
            </w:r>
          </w:p>
          <w:p w:rsidR="00C2569C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рассматривает и принимает по согласованию с Учредителем Программу развития Учреждения</w:t>
            </w:r>
          </w:p>
          <w:p w:rsidR="00C2569C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рассматривает вопросы содержания, форм и методов образовательного процесса, планирование образовательной деятельности;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организует выявление, обобщение, распространение, внедрение педагогического опыта;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ходатайствует о поощрении и награждении наиболее отличившихся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педаг</w:t>
            </w:r>
            <w:r>
              <w:rPr>
                <w:rFonts w:ascii="Times New Roman" w:hAnsi="Times New Roman"/>
                <w:sz w:val="28"/>
                <w:szCs w:val="28"/>
              </w:rPr>
              <w:t>огических работников Учреждения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рассматривает вопросы переподготовки, повышения квалификации и аттестации по должности педагогических кадров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>- рассматривает вопросы по организации предоставления дополнительных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>- подводит итоги деятельности за год.</w:t>
            </w:r>
          </w:p>
          <w:p w:rsidR="00C2569C" w:rsidRPr="00F63C05" w:rsidRDefault="00C2569C" w:rsidP="00C256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С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проводятся в соответствии с планом работы Учреждения, но не реже четырёх раз в течение учебного года.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68D" w:rsidRPr="00023C06" w:rsidTr="00FB368D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Общее собрание 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участвовать в разработке и принятии </w:t>
            </w:r>
            <w:proofErr w:type="gramStart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</w:t>
            </w:r>
            <w:proofErr w:type="gramEnd"/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договора, Правил трудового распорядка, изменений и 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образовательной организации и связаны с 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правами и обязанностями работников;</w:t>
            </w:r>
          </w:p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FB368D" w:rsidRDefault="00FB368D" w:rsidP="00AD7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</w:t>
            </w:r>
            <w:r w:rsidR="00AD7ECB"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</w:t>
            </w:r>
            <w:r w:rsidRPr="00023C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рганизации, совершенствованию ее работы и развитию материальной базы</w:t>
            </w:r>
          </w:p>
          <w:p w:rsidR="00F41168" w:rsidRPr="00F63C05" w:rsidRDefault="00F41168" w:rsidP="00F411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>Для ведения Общего собрания трудового коллектива Учреждения открытым голосованием избирается его председатель и секретарь.</w:t>
            </w:r>
          </w:p>
          <w:p w:rsidR="00F41168" w:rsidRPr="00F63C05" w:rsidRDefault="00F41168" w:rsidP="00F411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05">
              <w:rPr>
                <w:rFonts w:ascii="Times New Roman" w:hAnsi="Times New Roman"/>
                <w:sz w:val="28"/>
                <w:szCs w:val="28"/>
              </w:rPr>
              <w:t xml:space="preserve">Общее собрание трудового коллектива Учреждения собирается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мере надобности, но не реже одного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3C0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63C05">
              <w:rPr>
                <w:rFonts w:ascii="Times New Roman" w:hAnsi="Times New Roman"/>
                <w:sz w:val="28"/>
                <w:szCs w:val="28"/>
              </w:rPr>
              <w:lastRenderedPageBreak/>
              <w:t>год.</w:t>
            </w:r>
          </w:p>
          <w:p w:rsidR="00F41168" w:rsidRPr="00023C06" w:rsidRDefault="00F41168" w:rsidP="00AD7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  <w:tr w:rsidR="00FB368D" w:rsidRPr="00023C06" w:rsidTr="00FB368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023C06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68D" w:rsidRDefault="00C2569C" w:rsidP="00C2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567"/>
        <w:jc w:val="both"/>
        <w:rPr>
          <w:rStyle w:val="c8"/>
          <w:color w:val="000000"/>
          <w:sz w:val="28"/>
          <w:szCs w:val="28"/>
        </w:rPr>
      </w:pPr>
      <w:r w:rsidRPr="00C2569C">
        <w:rPr>
          <w:rFonts w:ascii="Times New Roman" w:hAnsi="Times New Roman" w:cs="Times New Roman"/>
          <w:sz w:val="28"/>
          <w:szCs w:val="28"/>
        </w:rPr>
        <w:t xml:space="preserve">Структура и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C2569C">
        <w:rPr>
          <w:rFonts w:ascii="Times New Roman" w:hAnsi="Times New Roman" w:cs="Times New Roman"/>
          <w:sz w:val="28"/>
          <w:szCs w:val="28"/>
        </w:rPr>
        <w:t xml:space="preserve">управления ДОУ определяют стабильное функционирование. </w:t>
      </w:r>
    </w:p>
    <w:p w:rsidR="00C2569C" w:rsidRPr="00023C06" w:rsidRDefault="00C2569C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B368D" w:rsidRPr="00023C06" w:rsidRDefault="00FB368D" w:rsidP="00B2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6A68C0" w:rsidRPr="006A68C0" w:rsidRDefault="006A68C0" w:rsidP="006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6A68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68C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A68C0" w:rsidRPr="006A68C0" w:rsidRDefault="006A68C0" w:rsidP="006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FB368D" w:rsidRPr="00454A81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Детский сад посещают 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FF68DE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воспитанников в возрасте от 2 до 7 лет. В Детском саду сформировано 6 групп </w:t>
      </w:r>
      <w:proofErr w:type="spellStart"/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направленности. Из них:</w:t>
      </w:r>
    </w:p>
    <w:p w:rsidR="009A75BA" w:rsidRPr="00454A81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</w:t>
      </w:r>
      <w:r w:rsidR="00456CF7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="009A75BA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первая </w:t>
      </w:r>
      <w:r w:rsidR="00456CF7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</w:t>
      </w: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68DE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</w:t>
      </w: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A75BA" w:rsidRPr="00454A81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</w:t>
      </w:r>
      <w:r w:rsidR="009A75BA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вторая младшая группа </w:t>
      </w:r>
      <w:r w:rsidR="00801BF4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9A75BA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="00801BF4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</w:p>
    <w:p w:rsidR="00FB368D" w:rsidRPr="00454A81" w:rsidRDefault="005E17DF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средняя группа</w:t>
      </w:r>
      <w:r w:rsidR="00FB368D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01BF4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ребенок</w:t>
      </w:r>
      <w:r w:rsidR="00FB368D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B368D" w:rsidRPr="00454A81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старшие группы</w:t>
      </w: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="00801BF4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детей;</w:t>
      </w:r>
    </w:p>
    <w:p w:rsidR="00FB368D" w:rsidRPr="00454A81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− 1 подготовительная к школе группа – </w:t>
      </w:r>
      <w:r w:rsidR="00801BF4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54A81"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454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детей.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</w:t>
      </w:r>
      <w:r w:rsidR="00AD7ECB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проведения диагностики: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диагностические срезы;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наблюдения, итоговые занятия.</w:t>
      </w:r>
    </w:p>
    <w:p w:rsidR="00FB368D" w:rsidRPr="00023C06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</w:t>
      </w:r>
      <w:r w:rsidR="0064313B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интегративных качеств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развития и качества освоения образовательных областей. Так, результаты качеств</w:t>
      </w:r>
      <w:r w:rsidR="004E0EB6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освоения ООП Детского сада, в кон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r w:rsidR="004E0EB6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313B"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учебного 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23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выглядят следующим образом:</w:t>
      </w:r>
    </w:p>
    <w:p w:rsidR="009A75BA" w:rsidRDefault="009A75BA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4C2" w:rsidRDefault="00F374C2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4C2" w:rsidRDefault="00F374C2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4C2" w:rsidRDefault="00F374C2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4C2" w:rsidRPr="00023C06" w:rsidRDefault="00F374C2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BF4" w:rsidRPr="00023C06" w:rsidRDefault="00801BF4" w:rsidP="00295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4313B" w:rsidRPr="00023C06" w:rsidRDefault="0064313B" w:rsidP="00295D76">
      <w:pPr>
        <w:pStyle w:val="a6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23C06">
        <w:rPr>
          <w:rFonts w:ascii="Times New Roman" w:hAnsi="Times New Roman"/>
          <w:b/>
          <w:sz w:val="28"/>
          <w:szCs w:val="28"/>
        </w:rPr>
        <w:lastRenderedPageBreak/>
        <w:t>Результаты освоения образовательных областей программы за  201</w:t>
      </w:r>
      <w:r w:rsidR="00E42D64">
        <w:rPr>
          <w:rFonts w:ascii="Times New Roman" w:hAnsi="Times New Roman"/>
          <w:b/>
          <w:sz w:val="28"/>
          <w:szCs w:val="28"/>
        </w:rPr>
        <w:t>8</w:t>
      </w:r>
      <w:r w:rsidRPr="00023C06">
        <w:rPr>
          <w:rFonts w:ascii="Times New Roman" w:hAnsi="Times New Roman"/>
          <w:b/>
          <w:sz w:val="28"/>
          <w:szCs w:val="28"/>
        </w:rPr>
        <w:t xml:space="preserve">  год.</w:t>
      </w:r>
    </w:p>
    <w:p w:rsidR="0064313B" w:rsidRDefault="0064313B" w:rsidP="0064313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8C0" w:rsidRPr="00023C06" w:rsidRDefault="006A68C0" w:rsidP="0064313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1094"/>
        <w:gridCol w:w="1051"/>
        <w:gridCol w:w="11"/>
        <w:gridCol w:w="1113"/>
        <w:gridCol w:w="1282"/>
        <w:gridCol w:w="1265"/>
        <w:gridCol w:w="9"/>
        <w:gridCol w:w="1381"/>
      </w:tblGrid>
      <w:tr w:rsidR="0064313B" w:rsidRPr="00B66AF5" w:rsidTr="00A864C2">
        <w:trPr>
          <w:trHeight w:val="415"/>
        </w:trPr>
        <w:tc>
          <w:tcPr>
            <w:tcW w:w="2365" w:type="dxa"/>
            <w:vMerge w:val="restart"/>
          </w:tcPr>
          <w:p w:rsidR="0064313B" w:rsidRPr="00B66AF5" w:rsidRDefault="0064313B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6" w:type="dxa"/>
            <w:gridSpan w:val="8"/>
          </w:tcPr>
          <w:p w:rsidR="0064313B" w:rsidRPr="00B66AF5" w:rsidRDefault="0064313B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6AF5">
              <w:rPr>
                <w:rFonts w:ascii="Times New Roman" w:hAnsi="Times New Roman"/>
                <w:sz w:val="28"/>
                <w:szCs w:val="28"/>
                <w:u w:val="single"/>
              </w:rPr>
              <w:t>Уровни освоения программы</w:t>
            </w:r>
          </w:p>
        </w:tc>
      </w:tr>
      <w:tr w:rsidR="006A68C0" w:rsidRPr="00B66AF5" w:rsidTr="006A68C0">
        <w:tc>
          <w:tcPr>
            <w:tcW w:w="2365" w:type="dxa"/>
            <w:vMerge/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F5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F5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F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6A68C0" w:rsidRPr="00B66AF5" w:rsidTr="006A68C0">
        <w:tc>
          <w:tcPr>
            <w:tcW w:w="2365" w:type="dxa"/>
            <w:vMerge/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A68C0" w:rsidRPr="00B66AF5" w:rsidRDefault="006A68C0" w:rsidP="000F666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A68C0" w:rsidRPr="00B66AF5" w:rsidRDefault="006A68C0" w:rsidP="000F666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A68C0" w:rsidRPr="00B66AF5" w:rsidRDefault="006A68C0" w:rsidP="000F666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6A68C0" w:rsidRPr="00B66AF5" w:rsidRDefault="006A68C0" w:rsidP="000F666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6F" w:rsidRPr="00B66AF5" w:rsidTr="006A68C0">
        <w:trPr>
          <w:trHeight w:val="876"/>
        </w:trPr>
        <w:tc>
          <w:tcPr>
            <w:tcW w:w="2365" w:type="dxa"/>
          </w:tcPr>
          <w:p w:rsidR="003C006F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F5">
              <w:rPr>
                <w:rFonts w:ascii="Times New Roman" w:hAnsi="Times New Roman"/>
                <w:sz w:val="28"/>
                <w:szCs w:val="28"/>
              </w:rPr>
              <w:t xml:space="preserve">Образовательные области </w:t>
            </w:r>
          </w:p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C006F" w:rsidRDefault="00F374C2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62" w:type="dxa"/>
            <w:gridSpan w:val="2"/>
          </w:tcPr>
          <w:p w:rsidR="003C006F" w:rsidRPr="00B66AF5" w:rsidRDefault="003C006F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13" w:type="dxa"/>
          </w:tcPr>
          <w:p w:rsidR="003C006F" w:rsidRDefault="00F374C2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2" w:type="dxa"/>
          </w:tcPr>
          <w:p w:rsidR="003C006F" w:rsidRPr="00B66AF5" w:rsidRDefault="003C006F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  <w:gridSpan w:val="2"/>
          </w:tcPr>
          <w:p w:rsidR="003C006F" w:rsidRDefault="00F374C2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3C006F" w:rsidRPr="00B66AF5" w:rsidRDefault="00E42D6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68C0" w:rsidRPr="00B66AF5" w:rsidTr="006A68C0">
        <w:trPr>
          <w:trHeight w:val="721"/>
        </w:trPr>
        <w:tc>
          <w:tcPr>
            <w:tcW w:w="2365" w:type="dxa"/>
          </w:tcPr>
          <w:p w:rsidR="006A68C0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Интегративные качества</w:t>
            </w:r>
          </w:p>
          <w:p w:rsidR="006A68C0" w:rsidRPr="00B66AF5" w:rsidRDefault="006A68C0" w:rsidP="00A864C2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62" w:type="dxa"/>
            <w:gridSpan w:val="2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13" w:type="dxa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82" w:type="dxa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4" w:type="dxa"/>
            <w:gridSpan w:val="2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6A68C0" w:rsidRDefault="001C6EF4" w:rsidP="005171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4313B" w:rsidRDefault="001D7B64" w:rsidP="0064313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3AB">
        <w:rPr>
          <w:rFonts w:ascii="Times New Roman" w:hAnsi="Times New Roman"/>
          <w:sz w:val="28"/>
          <w:szCs w:val="28"/>
        </w:rPr>
        <w:t>Сравнительная таблица уровня освоения программы по образовательным  областям</w:t>
      </w:r>
    </w:p>
    <w:p w:rsidR="001D7B64" w:rsidRPr="00023C06" w:rsidRDefault="001D7B64" w:rsidP="0064313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3378" cy="1534601"/>
            <wp:effectExtent l="19050" t="0" r="20872" b="844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33AB" w:rsidRDefault="007C33AB" w:rsidP="007C33A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 уровня освоения интегративных качеств</w:t>
      </w:r>
    </w:p>
    <w:p w:rsidR="007C33AB" w:rsidRDefault="007C33AB" w:rsidP="007C33A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3AB" w:rsidRDefault="007C33AB" w:rsidP="007C33A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6912" cy="1677726"/>
            <wp:effectExtent l="19050" t="0" r="173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160C" w:rsidRDefault="00DD160C" w:rsidP="002A2E79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2E79" w:rsidRPr="00023C06" w:rsidRDefault="00DD160C" w:rsidP="002A2E79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A2E79" w:rsidRPr="00023C06">
        <w:rPr>
          <w:rFonts w:ascii="Times New Roman" w:hAnsi="Times New Roman"/>
          <w:b/>
          <w:sz w:val="28"/>
          <w:szCs w:val="28"/>
        </w:rPr>
        <w:t>Уровни усвоения программного материала</w:t>
      </w:r>
      <w:r w:rsidR="002A2E79" w:rsidRPr="00023C06">
        <w:rPr>
          <w:rFonts w:ascii="Times New Roman" w:hAnsi="Times New Roman"/>
          <w:sz w:val="28"/>
          <w:szCs w:val="28"/>
        </w:rPr>
        <w:t xml:space="preserve">: </w:t>
      </w:r>
    </w:p>
    <w:p w:rsidR="00FB368D" w:rsidRPr="00E42D64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801BF4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мае </w:t>
      </w: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42D64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педагоги Детского сада проводили об</w:t>
      </w:r>
      <w:r w:rsidR="009A75BA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следование </w:t>
      </w: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воспитанников подготовительной группы на предмет оценки </w:t>
      </w:r>
      <w:proofErr w:type="spellStart"/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предпосылок к уче</w:t>
      </w:r>
      <w:r w:rsidR="00801BF4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бной деятельности в количестве </w:t>
      </w:r>
      <w:r w:rsidR="00E42D64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человек. </w:t>
      </w:r>
      <w:proofErr w:type="gramStart"/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</w:t>
      </w: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работоспособности, темпа, целенаправленности деятельности и самоконтроля.</w:t>
      </w:r>
      <w:proofErr w:type="gramEnd"/>
    </w:p>
    <w:p w:rsidR="00F41168" w:rsidRPr="00E42D64" w:rsidRDefault="00FB368D" w:rsidP="0062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динамике, что говорит о результативности образовательной деятельности в Детском саду.</w:t>
      </w:r>
      <w:r w:rsidR="00F41168" w:rsidRPr="00E42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B368D" w:rsidRPr="00FF319D" w:rsidRDefault="00FB368D" w:rsidP="009A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FB368D" w:rsidRPr="00FF319D" w:rsidRDefault="00FB368D" w:rsidP="0062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выбрать стратегию воспитательной работы, в 201</w:t>
      </w:r>
      <w:r w:rsidR="00FF319D"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FB368D" w:rsidRPr="00FF319D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7"/>
        <w:gridCol w:w="2880"/>
        <w:gridCol w:w="3118"/>
      </w:tblGrid>
      <w:tr w:rsidR="00FB368D" w:rsidRPr="00FF319D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BB42CE" w:rsidRDefault="00FB368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Процент от общего </w:t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количества семей </w:t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B368D" w:rsidRPr="00FF319D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4B4A9B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FF319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FF319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4B4A9B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FF319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4B4A9B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4B4A9B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FB36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68D" w:rsidRPr="00FF319D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4"/>
        <w:gridCol w:w="2977"/>
        <w:gridCol w:w="3064"/>
      </w:tblGrid>
      <w:tr w:rsidR="00FB368D" w:rsidRPr="00FF319D" w:rsidTr="006223AB"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BB42CE" w:rsidRDefault="00FB368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Процент от общего </w:t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количества семей </w:t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31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B368D" w:rsidRPr="00FF319D" w:rsidTr="006223AB"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4B4A9B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6223AB"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4B4A9B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6223AB"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FF319D" w:rsidRDefault="00FF319D" w:rsidP="0062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B4A9B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FB368D" w:rsidRPr="00FF3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B368D" w:rsidRPr="00FF319D" w:rsidTr="006223AB">
        <w:tc>
          <w:tcPr>
            <w:tcW w:w="18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FF319D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EF4" w:rsidRDefault="001C6EF4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B368D" w:rsidRPr="00FF319D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6A68C0" w:rsidRPr="00FF319D" w:rsidRDefault="006A68C0" w:rsidP="006A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6A68C0" w:rsidRPr="00FF319D" w:rsidRDefault="006A68C0" w:rsidP="006A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2018 году в Детском саду работали творческие группы по направлениям:</w:t>
      </w:r>
    </w:p>
    <w:p w:rsidR="006A68C0" w:rsidRPr="00FF319D" w:rsidRDefault="006A68C0" w:rsidP="006A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художественно-эстетическое: «Цветные ладошки», «Шаги в искусство», «</w:t>
      </w:r>
      <w:proofErr w:type="spellStart"/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Домисолька</w:t>
      </w:r>
      <w:proofErr w:type="spellEnd"/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«В гостях у сказки», «</w:t>
      </w:r>
      <w:proofErr w:type="gramStart"/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Очумелые</w:t>
      </w:r>
      <w:proofErr w:type="gramEnd"/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ручки»;</w:t>
      </w:r>
    </w:p>
    <w:p w:rsidR="006A68C0" w:rsidRPr="00FF319D" w:rsidRDefault="006A68C0" w:rsidP="006A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социально-педагогическое: </w:t>
      </w:r>
      <w:r w:rsidRPr="00FF319D">
        <w:rPr>
          <w:rFonts w:ascii="Times New Roman" w:hAnsi="Times New Roman" w:cs="Times New Roman"/>
          <w:sz w:val="28"/>
          <w:szCs w:val="28"/>
        </w:rPr>
        <w:t xml:space="preserve">«Народная культура и традиции », «Раз словечко, два словечко». </w:t>
      </w:r>
    </w:p>
    <w:p w:rsidR="006A68C0" w:rsidRPr="00FF319D" w:rsidRDefault="006A68C0" w:rsidP="006A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дополнительном образовании з</w:t>
      </w:r>
      <w:r w:rsidR="007C3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адействовано 86% воспитанников д</w:t>
      </w:r>
      <w:r w:rsidRPr="00FF3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етского сада.</w:t>
      </w:r>
    </w:p>
    <w:p w:rsidR="006223AB" w:rsidRDefault="006223AB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AE4" w:rsidRDefault="00BE3AE4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8DE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Оценка функционирования внутренней системы оценки</w:t>
      </w:r>
    </w:p>
    <w:p w:rsidR="00FB368D" w:rsidRDefault="00FB368D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 образования</w:t>
      </w:r>
    </w:p>
    <w:p w:rsidR="00127151" w:rsidRPr="00F41168" w:rsidRDefault="00F633AA" w:rsidP="00F41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утверждено</w:t>
      </w:r>
      <w:r w:rsidRPr="00456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8" w:anchor="/document/118/49757/" w:history="1">
        <w:r w:rsidRPr="004E0EB6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положение о системе внутреннего мониторинга качества образования</w:t>
        </w:r>
      </w:hyperlink>
      <w:r w:rsidRPr="004E0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4E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25.02.2016г.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 качества образовательной деятельности в 201</w:t>
      </w:r>
      <w:r w:rsidR="00E42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  <w:r w:rsidR="00F41168" w:rsidRPr="00F41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="00E42D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F41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процентов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</w:t>
      </w:r>
    </w:p>
    <w:p w:rsidR="00FB368D" w:rsidRPr="003827E9" w:rsidRDefault="00BB42CE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с 15.11.2018 по 19.11.2018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проводилось анкетирование </w:t>
      </w:r>
      <w:r w:rsidR="00AE4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93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родителей, получены следующие результаты: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81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доля получателей услуг, удовлетворенных компетентностью работников организации, –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доля получателей услуг, удовлетворенных материально-техническим обеспечением организации, –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B368D" w:rsidRPr="00A32073" w:rsidRDefault="00FB368D" w:rsidP="00A3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доля получателей услуг, удовлетворенных качеством предоставляемых</w:t>
      </w:r>
      <w:r w:rsidRPr="00A320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32073" w:rsidRPr="00A320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образовательных услуг, –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17CE1" w:rsidRPr="003827E9" w:rsidRDefault="00FB368D" w:rsidP="00917CE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доля получателей услуг, которые готовы рекомендовать организацию родственникам и знакомым, –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EB6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17CE1" w:rsidRPr="0038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CE1" w:rsidRPr="00566823" w:rsidRDefault="00917CE1" w:rsidP="00917CE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917CE1" w:rsidRPr="00566823" w:rsidRDefault="00917CE1" w:rsidP="00917CE1">
      <w:pPr>
        <w:spacing w:after="407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Внутренняя оценка осуществляется мониторингом, контрольными мероприятиями.</w:t>
      </w:r>
    </w:p>
    <w:p w:rsidR="00917CE1" w:rsidRDefault="00917CE1" w:rsidP="00917CE1">
      <w:pPr>
        <w:spacing w:after="407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FB368D" w:rsidRPr="004E0EB6" w:rsidRDefault="00FB368D" w:rsidP="0091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B368D" w:rsidRPr="00456CF7" w:rsidRDefault="00FB368D" w:rsidP="0091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FB368D" w:rsidRPr="003827E9" w:rsidRDefault="00FB368D" w:rsidP="0091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человек. Педагогический коллектив Детского сада насчитывает 1</w:t>
      </w:r>
      <w:r w:rsid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воспитанник/педагоги – </w:t>
      </w:r>
      <w:r w:rsidR="00DC7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/1;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воспитанники/все сотрудники –</w:t>
      </w:r>
      <w:r w:rsidR="00DC7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/1.</w:t>
      </w:r>
    </w:p>
    <w:p w:rsidR="00FB368D" w:rsidRPr="003827E9" w:rsidRDefault="00356968" w:rsidP="0091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DC7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педагогические работники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имеют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B368D" w:rsidRPr="003827E9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первую квалификационную категорию – </w:t>
      </w:r>
      <w:r w:rsidR="00763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34532E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воспитателей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56968" w:rsidRPr="003827E9" w:rsidRDefault="00356968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соответствие занимаемой должности  - 2 воспитателя.</w:t>
      </w:r>
    </w:p>
    <w:p w:rsidR="00AE4DBF" w:rsidRPr="00AE4DBF" w:rsidRDefault="00FB368D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Курсы</w:t>
      </w:r>
      <w:r w:rsidRPr="003827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9" w:anchor="/document/16/4019/" w:history="1">
        <w:r w:rsidRPr="003827E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повышения квалификации</w:t>
        </w:r>
      </w:hyperlink>
      <w:r w:rsidRPr="003827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4532E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году прош</w:t>
      </w:r>
      <w:r w:rsidR="0034532E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34532E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воспитателей</w:t>
      </w:r>
      <w:r w:rsidR="0034532E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4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етского сада. 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2018 году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педагог </w:t>
      </w:r>
      <w:r w:rsidR="003827E9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закончил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обучение в 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ВУЗе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педагогической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6968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специальности</w:t>
      </w: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E4DBF" w:rsidRPr="00AE4DBF">
        <w:rPr>
          <w:rFonts w:ascii="Arial" w:hAnsi="Arial" w:cs="Arial"/>
          <w:sz w:val="20"/>
          <w:szCs w:val="20"/>
        </w:rPr>
        <w:t xml:space="preserve"> </w:t>
      </w:r>
      <w:r w:rsidR="00AE4DBF">
        <w:rPr>
          <w:rFonts w:ascii="Times New Roman" w:hAnsi="Times New Roman" w:cs="Times New Roman"/>
          <w:sz w:val="28"/>
          <w:szCs w:val="28"/>
        </w:rPr>
        <w:t>На 29.12.2018 1 педагог проходит обучение в СГУ по педагогической специальности</w:t>
      </w:r>
      <w:r w:rsidR="00AE4DBF" w:rsidRPr="00AE4DBF">
        <w:rPr>
          <w:rFonts w:ascii="Times New Roman" w:hAnsi="Times New Roman" w:cs="Times New Roman"/>
          <w:sz w:val="28"/>
          <w:szCs w:val="28"/>
        </w:rPr>
        <w:t>.</w:t>
      </w:r>
    </w:p>
    <w:p w:rsidR="00FB368D" w:rsidRPr="003827E9" w:rsidRDefault="00FB368D" w:rsidP="00B6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C44EA1" w:rsidRPr="006223AB" w:rsidRDefault="0034532E" w:rsidP="0062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характеристиками кадрового состава </w:t>
      </w:r>
      <w:r w:rsidR="00F633AA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FB368D" w:rsidRPr="00382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етского сада</w:t>
      </w:r>
    </w:p>
    <w:p w:rsidR="00C44EA1" w:rsidRPr="006227B8" w:rsidRDefault="00C44EA1" w:rsidP="00FF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10175" w:type="dxa"/>
        <w:tblInd w:w="-601" w:type="dxa"/>
        <w:tblLayout w:type="fixed"/>
        <w:tblLook w:val="04A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850"/>
        <w:gridCol w:w="709"/>
        <w:gridCol w:w="425"/>
        <w:gridCol w:w="426"/>
        <w:gridCol w:w="567"/>
        <w:gridCol w:w="535"/>
      </w:tblGrid>
      <w:tr w:rsidR="003F0A62" w:rsidRPr="00763ED3" w:rsidTr="003F0A62">
        <w:trPr>
          <w:cantSplit/>
          <w:trHeight w:val="540"/>
        </w:trPr>
        <w:tc>
          <w:tcPr>
            <w:tcW w:w="851" w:type="dxa"/>
            <w:vMerge w:val="restart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vMerge w:val="restart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 xml:space="preserve">Всего </w:t>
            </w:r>
            <w:proofErr w:type="spellStart"/>
            <w:r w:rsidRPr="00763ED3">
              <w:rPr>
                <w:sz w:val="28"/>
                <w:szCs w:val="28"/>
              </w:rPr>
              <w:t>педаг</w:t>
            </w:r>
            <w:proofErr w:type="spellEnd"/>
            <w:r w:rsidRPr="00763ED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3F0A62" w:rsidRPr="00763ED3" w:rsidRDefault="003F0A62" w:rsidP="003F0A6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психолог</w:t>
            </w:r>
          </w:p>
        </w:tc>
        <w:tc>
          <w:tcPr>
            <w:tcW w:w="567" w:type="dxa"/>
            <w:vMerge w:val="restart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воспитатели</w:t>
            </w:r>
          </w:p>
        </w:tc>
        <w:tc>
          <w:tcPr>
            <w:tcW w:w="567" w:type="dxa"/>
            <w:vMerge w:val="restart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63ED3">
              <w:rPr>
                <w:sz w:val="28"/>
                <w:szCs w:val="28"/>
              </w:rPr>
              <w:t>музрук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 xml:space="preserve">Ст. </w:t>
            </w:r>
            <w:proofErr w:type="spellStart"/>
            <w:r w:rsidRPr="00763ED3">
              <w:rPr>
                <w:sz w:val="28"/>
                <w:szCs w:val="28"/>
              </w:rPr>
              <w:t>воспитат</w:t>
            </w:r>
            <w:proofErr w:type="spellEnd"/>
            <w:r w:rsidRPr="00763ED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Возрастной ценз, лет</w:t>
            </w:r>
          </w:p>
        </w:tc>
        <w:tc>
          <w:tcPr>
            <w:tcW w:w="2126" w:type="dxa"/>
            <w:gridSpan w:val="3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Образовательный ценз</w:t>
            </w:r>
          </w:p>
        </w:tc>
        <w:tc>
          <w:tcPr>
            <w:tcW w:w="1953" w:type="dxa"/>
            <w:gridSpan w:val="4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Педагогический стаж, лет</w:t>
            </w:r>
          </w:p>
        </w:tc>
      </w:tr>
      <w:tr w:rsidR="003F0A62" w:rsidRPr="00763ED3" w:rsidTr="003F0A62">
        <w:trPr>
          <w:cantSplit/>
          <w:trHeight w:val="1301"/>
        </w:trPr>
        <w:tc>
          <w:tcPr>
            <w:tcW w:w="851" w:type="dxa"/>
            <w:vMerge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До 30</w:t>
            </w:r>
          </w:p>
        </w:tc>
        <w:tc>
          <w:tcPr>
            <w:tcW w:w="567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30-40</w:t>
            </w:r>
          </w:p>
        </w:tc>
        <w:tc>
          <w:tcPr>
            <w:tcW w:w="425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40-50</w:t>
            </w:r>
          </w:p>
        </w:tc>
        <w:tc>
          <w:tcPr>
            <w:tcW w:w="709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Свыше 50</w:t>
            </w:r>
          </w:p>
        </w:tc>
        <w:tc>
          <w:tcPr>
            <w:tcW w:w="567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63ED3">
              <w:rPr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709" w:type="dxa"/>
            <w:textDirection w:val="btLr"/>
          </w:tcPr>
          <w:p w:rsidR="003F0A62" w:rsidRPr="00763ED3" w:rsidRDefault="003F0A62" w:rsidP="003F0A6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63ED3">
              <w:rPr>
                <w:sz w:val="28"/>
                <w:szCs w:val="28"/>
              </w:rPr>
              <w:t>Незакон</w:t>
            </w:r>
            <w:proofErr w:type="gramStart"/>
            <w:r w:rsidRPr="00763ED3">
              <w:rPr>
                <w:sz w:val="28"/>
                <w:szCs w:val="28"/>
              </w:rPr>
              <w:t>.в</w:t>
            </w:r>
            <w:proofErr w:type="gramEnd"/>
            <w:r w:rsidRPr="00763ED3">
              <w:rPr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425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До 5</w:t>
            </w:r>
          </w:p>
        </w:tc>
        <w:tc>
          <w:tcPr>
            <w:tcW w:w="426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5-10</w:t>
            </w:r>
          </w:p>
        </w:tc>
        <w:tc>
          <w:tcPr>
            <w:tcW w:w="567" w:type="dxa"/>
            <w:textDirection w:val="btLr"/>
          </w:tcPr>
          <w:p w:rsidR="003F0A62" w:rsidRPr="00763ED3" w:rsidRDefault="003F0A62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10-20</w:t>
            </w:r>
          </w:p>
        </w:tc>
        <w:tc>
          <w:tcPr>
            <w:tcW w:w="535" w:type="dxa"/>
            <w:textDirection w:val="btLr"/>
          </w:tcPr>
          <w:p w:rsidR="003F0A62" w:rsidRPr="00763ED3" w:rsidRDefault="00F633AA" w:rsidP="00A864C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3ED3">
              <w:rPr>
                <w:sz w:val="28"/>
                <w:szCs w:val="28"/>
              </w:rPr>
              <w:t>Св</w:t>
            </w:r>
            <w:proofErr w:type="spellEnd"/>
            <w:proofErr w:type="gramEnd"/>
            <w:r w:rsidRPr="00763ED3">
              <w:rPr>
                <w:sz w:val="28"/>
                <w:szCs w:val="28"/>
              </w:rPr>
              <w:t xml:space="preserve"> </w:t>
            </w:r>
            <w:r w:rsidR="003F0A62" w:rsidRPr="00763ED3">
              <w:rPr>
                <w:sz w:val="28"/>
                <w:szCs w:val="28"/>
              </w:rPr>
              <w:t xml:space="preserve"> 20</w:t>
            </w:r>
          </w:p>
        </w:tc>
      </w:tr>
      <w:tr w:rsidR="003F0A62" w:rsidRPr="00763ED3" w:rsidTr="003F0A62">
        <w:trPr>
          <w:trHeight w:val="382"/>
        </w:trPr>
        <w:tc>
          <w:tcPr>
            <w:tcW w:w="851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201</w:t>
            </w:r>
            <w:r w:rsidR="00C44EA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F0A62" w:rsidRPr="00763ED3" w:rsidRDefault="003F0A62" w:rsidP="003F0A62">
            <w:pPr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F0A62" w:rsidRPr="00763ED3" w:rsidRDefault="003F0A62" w:rsidP="003F0A62">
            <w:pPr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F0A62" w:rsidRPr="00763ED3" w:rsidRDefault="00763ED3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F0A62" w:rsidRPr="00763ED3" w:rsidRDefault="00DC7600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F0A62" w:rsidRPr="00763ED3" w:rsidRDefault="00763ED3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F0A62" w:rsidRPr="00763ED3" w:rsidRDefault="00763ED3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3F0A62" w:rsidRPr="00763ED3" w:rsidRDefault="00DC7600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3F0A62" w:rsidRPr="00763ED3" w:rsidRDefault="00763ED3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F0A62" w:rsidRPr="00763ED3" w:rsidRDefault="00763ED3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3F0A62" w:rsidRPr="00763ED3" w:rsidRDefault="003F0A62" w:rsidP="00A864C2">
            <w:pPr>
              <w:jc w:val="center"/>
              <w:rPr>
                <w:sz w:val="28"/>
                <w:szCs w:val="28"/>
              </w:rPr>
            </w:pPr>
            <w:r w:rsidRPr="00763ED3">
              <w:rPr>
                <w:sz w:val="28"/>
                <w:szCs w:val="28"/>
              </w:rPr>
              <w:t>2</w:t>
            </w:r>
          </w:p>
        </w:tc>
      </w:tr>
    </w:tbl>
    <w:p w:rsidR="0034532E" w:rsidRPr="00AC2F02" w:rsidRDefault="00B60237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педагогического состава </w:t>
      </w:r>
    </w:p>
    <w:p w:rsidR="00B60237" w:rsidRDefault="00B60237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47719" cy="1701579"/>
            <wp:effectExtent l="19050" t="0" r="1938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F02" w:rsidRDefault="00AC2F02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2F02" w:rsidRPr="00AC2F02" w:rsidRDefault="00AC2F02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педагогического состава</w:t>
      </w:r>
    </w:p>
    <w:p w:rsidR="00AC2F02" w:rsidRDefault="00AC2F02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2F02" w:rsidRPr="006227B8" w:rsidRDefault="00AC2F02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44572" cy="1868556"/>
            <wp:effectExtent l="19050" t="0" r="2252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151" w:rsidRPr="00894A1A" w:rsidRDefault="00F46DD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4A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2018</w:t>
      </w:r>
      <w:r w:rsidR="00FB368D" w:rsidRPr="00894A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году педагоги Детского сада приняли участие:</w:t>
      </w:r>
      <w:r w:rsidR="00127151" w:rsidRPr="00894A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B574E" w:rsidRPr="00AB574E" w:rsidRDefault="00AB574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 международном педагогическом конкурсе «Калейдоскоп средств, методов и форм» в номинации «Конспекты НОД с детьми дошкольного возраста»;</w:t>
      </w:r>
    </w:p>
    <w:p w:rsidR="00AB574E" w:rsidRPr="00AB574E" w:rsidRDefault="00AB574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во всероссийском педагогическом конкурсе «Методическая разработка»;</w:t>
      </w:r>
    </w:p>
    <w:p w:rsidR="00AB574E" w:rsidRPr="00AB574E" w:rsidRDefault="00AB574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-участие </w:t>
      </w:r>
      <w:proofErr w:type="gramStart"/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районом</w:t>
      </w:r>
      <w:proofErr w:type="gramEnd"/>
      <w:r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мотре-конкурсе групповых комнат;</w:t>
      </w:r>
    </w:p>
    <w:p w:rsidR="00894A1A" w:rsidRPr="00894A1A" w:rsidRDefault="00AE4DBF" w:rsidP="008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894A1A"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="00894A1A"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94A1A" w:rsidRP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конкурсе «Воспитатель года»;</w:t>
      </w:r>
    </w:p>
    <w:p w:rsidR="00AB574E" w:rsidRDefault="00AE4DBF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 всероссийском конкурсе «Дошкольное образование в рамках ФГОС»;</w:t>
      </w:r>
    </w:p>
    <w:p w:rsidR="00AB574E" w:rsidRPr="00AB574E" w:rsidRDefault="00AB574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622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Региональном конкурсе в номинации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наглядно-дидактическое пособие;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районном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педагогическом чтение на тему «Знакомство дошкольников с народной культурой и традициями через кружковую деятельность»;</w:t>
      </w:r>
    </w:p>
    <w:p w:rsidR="006F59C7" w:rsidRP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участие в районом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методическом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объединение с НОД «Я имею право на …»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 всероссийском конкурсе «Компетенции педагогических работников дошкольных образовательных организаций в соответствии с ФГОС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международном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педагогический конкурс «Калейдоскоп средств, методов и форм»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участие в муниципальном конкурсе «Лучший мастер-класс педагога ДОУ»</w:t>
      </w:r>
      <w:r w:rsidR="00AB5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B574E" w:rsidRPr="006F59C7" w:rsidRDefault="00AB574E" w:rsidP="00AB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-участие в районом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методическом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объединение с деловой игрой с воспитателями на тему «Знаем ли мы права ребенка»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F46DDE" w:rsidRPr="00F46DDE" w:rsidRDefault="00F46DDE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6D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 международном творческом конкурсе, в номинации «Вокальное и музыкальное творчество» с консультацией;</w:t>
      </w:r>
    </w:p>
    <w:p w:rsidR="006F59C7" w:rsidRDefault="00F46DDE" w:rsidP="00AE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6D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 международном творческом конкурсе, в номинации «Вокальное и музыкальное творчество» сценарий праздника «Новогодние святки»; место в ме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ждународном творческом конкурсе</w:t>
      </w:r>
      <w:r w:rsidRPr="00F46D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в номинации «Вокальное и музыкальное творчество» сценарий праздника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«Новогодние гости»;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всероссийский конкурс «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Доунтесса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», блиц-олимпиада «Диагностика дошкольников»;</w:t>
      </w:r>
    </w:p>
    <w:p w:rsidR="006F59C7" w:rsidRDefault="006F59C7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во всероссийском</w:t>
      </w:r>
      <w:r w:rsidR="00622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конкурсе «Методы развития позна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вательных способносте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 у детей дошкольного возраста»;</w:t>
      </w:r>
    </w:p>
    <w:p w:rsidR="00894A1A" w:rsidRPr="00F46DDE" w:rsidRDefault="00894A1A" w:rsidP="0012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 региональном этапе всероссийского конкурса «Воспитатели России</w:t>
      </w:r>
      <w:r w:rsidR="00AE4D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».</w:t>
      </w:r>
    </w:p>
    <w:p w:rsidR="00894A1A" w:rsidRPr="00894A1A" w:rsidRDefault="00894A1A" w:rsidP="0054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Детский сад участвовал в региональной акции «Сдай макулатуру -  спаси дерево».</w:t>
      </w:r>
    </w:p>
    <w:p w:rsidR="006A2CA7" w:rsidRPr="006227B8" w:rsidRDefault="006A2CA7" w:rsidP="008A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368D" w:rsidRPr="00456CF7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FB368D" w:rsidRPr="00E43B48" w:rsidRDefault="00FB368D" w:rsidP="00AE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</w:t>
      </w:r>
      <w:r w:rsidRPr="00456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2" w:anchor="/document/16/38785/" w:history="1">
        <w:r w:rsidRPr="006A2CA7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библиотека</w:t>
        </w:r>
      </w:hyperlink>
      <w:r w:rsidRPr="00456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B368D" w:rsidRPr="00E43B48" w:rsidRDefault="00FB368D" w:rsidP="006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B368D" w:rsidRPr="00AF39AA" w:rsidRDefault="00AE4DBF" w:rsidP="006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FB368D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нформационное обеспечение Детского сада включает:</w:t>
      </w:r>
    </w:p>
    <w:p w:rsidR="00FB368D" w:rsidRPr="00AF39AA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информационно-телекоммуникационное оборудование –</w:t>
      </w:r>
      <w:r w:rsidR="006A2CA7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компьютера и 1 ноутбук</w:t>
      </w: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2CA7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1принтер</w:t>
      </w: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2CA7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F39AA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DVD-плеер</w:t>
      </w: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музыкальный центр, </w:t>
      </w:r>
      <w:r w:rsidR="00AF39AA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proofErr w:type="spellStart"/>
      <w:r w:rsidR="00AF39AA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мультимедийный</w:t>
      </w:r>
      <w:proofErr w:type="spellEnd"/>
      <w:r w:rsidR="00AF39AA"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проектор</w:t>
      </w:r>
      <w:proofErr w:type="gramStart"/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FB368D" w:rsidRPr="00643FE8" w:rsidRDefault="00FB368D" w:rsidP="0064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интернет-ресурсами</w:t>
      </w:r>
      <w:proofErr w:type="spellEnd"/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фото-, видеоматериалами, графическими редакторами.</w:t>
      </w:r>
    </w:p>
    <w:p w:rsidR="00FB368D" w:rsidRPr="00AF39AA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Детском саду учебно-методическое и информационное обеспечение достаточное для организации образовательной</w:t>
      </w:r>
      <w:r w:rsidRPr="005A4F8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AF3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и эффективной реализации образовательных программ.</w:t>
      </w:r>
    </w:p>
    <w:p w:rsidR="00643FE8" w:rsidRDefault="00643FE8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68D" w:rsidRPr="00953AD5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материально-технической базы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4DBF">
        <w:rPr>
          <w:rFonts w:ascii="Times New Roman" w:hAnsi="Times New Roman" w:cs="Times New Roman"/>
          <w:sz w:val="28"/>
          <w:szCs w:val="28"/>
        </w:rPr>
        <w:t>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музыкальный зал – физкультурный зал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AE4DBF" w:rsidRPr="00AE4DBF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</w:t>
      </w:r>
      <w:r>
        <w:rPr>
          <w:rFonts w:ascii="Times New Roman" w:hAnsi="Times New Roman" w:cs="Times New Roman"/>
          <w:sz w:val="28"/>
          <w:szCs w:val="28"/>
        </w:rPr>
        <w:t xml:space="preserve">и спальную </w:t>
      </w:r>
      <w:r w:rsidRPr="00AE4DBF">
        <w:rPr>
          <w:rFonts w:ascii="Times New Roman" w:hAnsi="Times New Roman" w:cs="Times New Roman"/>
          <w:sz w:val="28"/>
          <w:szCs w:val="28"/>
        </w:rPr>
        <w:t>зоны.</w:t>
      </w:r>
    </w:p>
    <w:p w:rsidR="00B81258" w:rsidRDefault="00AE4DBF" w:rsidP="00AE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В 2018 году Детский сад провел текущий ремонт 6 групп</w:t>
      </w:r>
      <w:r w:rsidR="00B81258">
        <w:rPr>
          <w:rFonts w:ascii="Times New Roman" w:hAnsi="Times New Roman" w:cs="Times New Roman"/>
          <w:sz w:val="28"/>
          <w:szCs w:val="28"/>
        </w:rPr>
        <w:t>, лестничных пролетов, уличного оборудования. Провели замену регистров.</w:t>
      </w:r>
    </w:p>
    <w:p w:rsidR="00FB368D" w:rsidRPr="00E43B48" w:rsidRDefault="00FB368D" w:rsidP="0062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B696F" w:rsidRDefault="00DB696F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96F" w:rsidRPr="00122D0C" w:rsidRDefault="00FB368D" w:rsidP="0012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FB368D" w:rsidRDefault="00FB368D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Данные приведены по состоянию на 29</w:t>
      </w:r>
      <w:r w:rsidR="00122D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.12.2018</w:t>
      </w: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B696F" w:rsidRPr="00456CF7" w:rsidRDefault="00DB696F" w:rsidP="00FB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  <w:gridCol w:w="1493"/>
        <w:gridCol w:w="1917"/>
      </w:tblGrid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FB368D" w:rsidRPr="00357BC7" w:rsidTr="00FB368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воспитанников, которые обучаются по</w:t>
            </w:r>
            <w:r w:rsidR="00E43B48"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дошкольного 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E43B48"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образования с психолого-педагогическим </w:t>
            </w:r>
            <w:r w:rsidR="00E43B48"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943FB4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вес) детей от общей численности воспитанников, которые получают услуги присмотра и ухода, в том </w:t>
            </w:r>
          </w:p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 </w:t>
            </w:r>
            <w:r w:rsidR="00E43B48"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943FB4" w:rsidP="0094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</w:t>
            </w:r>
            <w:proofErr w:type="gram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программе дошкольного образования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81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количество </w:t>
            </w:r>
            <w:proofErr w:type="spell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943FB4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811B03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(83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C110B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(83</w:t>
            </w: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</w:t>
            </w:r>
          </w:p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C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C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FB368D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81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 (</w:t>
            </w:r>
            <w:r w:rsidR="001010E8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="00811B03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917CE1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человек/100% 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B48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FB368D" w:rsidRPr="00357BC7" w:rsidRDefault="00FB368D" w:rsidP="00E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1010E8" w:rsidP="0081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1/</w:t>
            </w:r>
            <w:r w:rsidR="00811B03"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110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B368D" w:rsidRPr="00357BC7" w:rsidTr="00FB368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 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77BC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м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C77BC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77.3 м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B368D" w:rsidRPr="00357BC7" w:rsidTr="00FB368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B368D" w:rsidRPr="00357BC7" w:rsidTr="00FB3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</w:t>
            </w:r>
            <w:r w:rsidR="00E43B48"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воспитанников в</w:t>
            </w:r>
            <w:proofErr w:type="gramEnd"/>
            <w:r w:rsidRPr="0035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68D" w:rsidRPr="00357BC7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B368D" w:rsidRPr="00357BC7" w:rsidTr="00FB36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68D" w:rsidRPr="00357BC7" w:rsidRDefault="00FB368D" w:rsidP="00FB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23C" w:rsidRDefault="00A1423C" w:rsidP="00C8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4EA1" w:rsidRPr="00A1423C" w:rsidRDefault="00FB368D" w:rsidP="00A1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Анализ показателей указывает на то, что Детский сад имеет достаточную </w:t>
      </w:r>
      <w:r w:rsidR="00C44EA1"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инфраструктуру, которая соответствует требованиям </w:t>
      </w:r>
      <w:hyperlink r:id="rId13" w:anchor="/document/99/499023522/" w:history="1">
        <w:proofErr w:type="spellStart"/>
        <w:r w:rsidR="00C44EA1" w:rsidRPr="00517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C44EA1" w:rsidRPr="00517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2.4.1.3049-13</w:t>
        </w:r>
      </w:hyperlink>
      <w:r w:rsidR="00C44EA1" w:rsidRPr="00456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44EA1"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C44EA1"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="00C44EA1"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44EA1" w:rsidRPr="00E43B48" w:rsidRDefault="00C44EA1" w:rsidP="00C4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56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44EA1" w:rsidRPr="00456CF7" w:rsidRDefault="00C44EA1" w:rsidP="00C44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EA1" w:rsidRDefault="00C44EA1" w:rsidP="00C4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A1" w:rsidRDefault="00C44EA1" w:rsidP="00C4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A9" w:rsidRPr="00456CF7" w:rsidRDefault="00667DA9" w:rsidP="00523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7DA9" w:rsidRPr="00456CF7" w:rsidSect="00F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68D"/>
    <w:rsid w:val="00023C06"/>
    <w:rsid w:val="00062168"/>
    <w:rsid w:val="00080AB6"/>
    <w:rsid w:val="000849B1"/>
    <w:rsid w:val="000A12D8"/>
    <w:rsid w:val="000A6B84"/>
    <w:rsid w:val="000C3ED2"/>
    <w:rsid w:val="000F6665"/>
    <w:rsid w:val="001010E8"/>
    <w:rsid w:val="00122D0C"/>
    <w:rsid w:val="00127151"/>
    <w:rsid w:val="00153BF8"/>
    <w:rsid w:val="001823B9"/>
    <w:rsid w:val="00183A46"/>
    <w:rsid w:val="001A130A"/>
    <w:rsid w:val="001A40A5"/>
    <w:rsid w:val="001B6B3C"/>
    <w:rsid w:val="001C6EF4"/>
    <w:rsid w:val="001D4EA7"/>
    <w:rsid w:val="001D7B64"/>
    <w:rsid w:val="00232BBE"/>
    <w:rsid w:val="00260311"/>
    <w:rsid w:val="00295D76"/>
    <w:rsid w:val="002A2E79"/>
    <w:rsid w:val="002E339A"/>
    <w:rsid w:val="002E525B"/>
    <w:rsid w:val="003401B0"/>
    <w:rsid w:val="0034532E"/>
    <w:rsid w:val="00356968"/>
    <w:rsid w:val="00357AAF"/>
    <w:rsid w:val="00357BC7"/>
    <w:rsid w:val="003827E9"/>
    <w:rsid w:val="00385242"/>
    <w:rsid w:val="003C006F"/>
    <w:rsid w:val="003C4739"/>
    <w:rsid w:val="003F0A62"/>
    <w:rsid w:val="00403E31"/>
    <w:rsid w:val="00454A81"/>
    <w:rsid w:val="00456CF7"/>
    <w:rsid w:val="00471389"/>
    <w:rsid w:val="004B0621"/>
    <w:rsid w:val="004B4A9B"/>
    <w:rsid w:val="004C6389"/>
    <w:rsid w:val="004E0EB6"/>
    <w:rsid w:val="004E2226"/>
    <w:rsid w:val="004F2EBF"/>
    <w:rsid w:val="005171BA"/>
    <w:rsid w:val="00523B31"/>
    <w:rsid w:val="005468A0"/>
    <w:rsid w:val="00546EE4"/>
    <w:rsid w:val="00590EDA"/>
    <w:rsid w:val="00592125"/>
    <w:rsid w:val="005A4F87"/>
    <w:rsid w:val="005E17DF"/>
    <w:rsid w:val="00600202"/>
    <w:rsid w:val="006223AB"/>
    <w:rsid w:val="006227B8"/>
    <w:rsid w:val="0064313B"/>
    <w:rsid w:val="00643FE8"/>
    <w:rsid w:val="00664C5F"/>
    <w:rsid w:val="00667DA9"/>
    <w:rsid w:val="00684067"/>
    <w:rsid w:val="006A2CA7"/>
    <w:rsid w:val="006A68C0"/>
    <w:rsid w:val="006F59C7"/>
    <w:rsid w:val="00763ED3"/>
    <w:rsid w:val="00794824"/>
    <w:rsid w:val="007C33AB"/>
    <w:rsid w:val="00801BF4"/>
    <w:rsid w:val="00811B03"/>
    <w:rsid w:val="008808EF"/>
    <w:rsid w:val="00883281"/>
    <w:rsid w:val="00894A1A"/>
    <w:rsid w:val="00897FC8"/>
    <w:rsid w:val="008A5DB4"/>
    <w:rsid w:val="008D0A9A"/>
    <w:rsid w:val="008D5C87"/>
    <w:rsid w:val="008D6345"/>
    <w:rsid w:val="00903002"/>
    <w:rsid w:val="00917CE1"/>
    <w:rsid w:val="009359D1"/>
    <w:rsid w:val="00943FB4"/>
    <w:rsid w:val="00953AD5"/>
    <w:rsid w:val="0097689F"/>
    <w:rsid w:val="009A75BA"/>
    <w:rsid w:val="009A7BD1"/>
    <w:rsid w:val="009D6C7B"/>
    <w:rsid w:val="009E7994"/>
    <w:rsid w:val="00A026BF"/>
    <w:rsid w:val="00A1423C"/>
    <w:rsid w:val="00A32073"/>
    <w:rsid w:val="00A60703"/>
    <w:rsid w:val="00A70AC8"/>
    <w:rsid w:val="00A864C2"/>
    <w:rsid w:val="00A94237"/>
    <w:rsid w:val="00AB574E"/>
    <w:rsid w:val="00AC2F02"/>
    <w:rsid w:val="00AD7ECB"/>
    <w:rsid w:val="00AE4DBF"/>
    <w:rsid w:val="00AF39AA"/>
    <w:rsid w:val="00B147AB"/>
    <w:rsid w:val="00B20C6B"/>
    <w:rsid w:val="00B25AD1"/>
    <w:rsid w:val="00B60237"/>
    <w:rsid w:val="00B66AF5"/>
    <w:rsid w:val="00B81258"/>
    <w:rsid w:val="00BB42CE"/>
    <w:rsid w:val="00BD2483"/>
    <w:rsid w:val="00BE3AE4"/>
    <w:rsid w:val="00C2569C"/>
    <w:rsid w:val="00C37BB3"/>
    <w:rsid w:val="00C44EA1"/>
    <w:rsid w:val="00C87F4A"/>
    <w:rsid w:val="00D26392"/>
    <w:rsid w:val="00D53168"/>
    <w:rsid w:val="00D75AAC"/>
    <w:rsid w:val="00DA2031"/>
    <w:rsid w:val="00DB696F"/>
    <w:rsid w:val="00DC7600"/>
    <w:rsid w:val="00DD160C"/>
    <w:rsid w:val="00DD456A"/>
    <w:rsid w:val="00E42D64"/>
    <w:rsid w:val="00E43B48"/>
    <w:rsid w:val="00E570A2"/>
    <w:rsid w:val="00E67647"/>
    <w:rsid w:val="00E91C99"/>
    <w:rsid w:val="00E96D4F"/>
    <w:rsid w:val="00EF362A"/>
    <w:rsid w:val="00F111B0"/>
    <w:rsid w:val="00F13E13"/>
    <w:rsid w:val="00F14646"/>
    <w:rsid w:val="00F374C2"/>
    <w:rsid w:val="00F41168"/>
    <w:rsid w:val="00F4369D"/>
    <w:rsid w:val="00F46DDE"/>
    <w:rsid w:val="00F633AA"/>
    <w:rsid w:val="00FB368D"/>
    <w:rsid w:val="00FC01E7"/>
    <w:rsid w:val="00FC110B"/>
    <w:rsid w:val="00FC77BC"/>
    <w:rsid w:val="00FF319D"/>
    <w:rsid w:val="00FF68DE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8D"/>
  </w:style>
  <w:style w:type="paragraph" w:styleId="8">
    <w:name w:val="heading 8"/>
    <w:basedOn w:val="a"/>
    <w:next w:val="a"/>
    <w:link w:val="80"/>
    <w:qFormat/>
    <w:rsid w:val="00C256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643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64313B"/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ocked/>
    <w:rsid w:val="00F41168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C256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8">
    <w:name w:val="c8"/>
    <w:basedOn w:val="a0"/>
    <w:rsid w:val="00C2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41</c:v>
                </c:pt>
                <c:pt idx="2">
                  <c:v>1</c:v>
                </c:pt>
              </c:numCache>
            </c:numRef>
          </c:val>
        </c:ser>
        <c:axId val="78960512"/>
        <c:axId val="79343616"/>
      </c:barChart>
      <c:catAx>
        <c:axId val="78960512"/>
        <c:scaling>
          <c:orientation val="minMax"/>
        </c:scaling>
        <c:axPos val="b"/>
        <c:tickLblPos val="nextTo"/>
        <c:crossAx val="79343616"/>
        <c:crosses val="autoZero"/>
        <c:auto val="1"/>
        <c:lblAlgn val="ctr"/>
        <c:lblOffset val="100"/>
      </c:catAx>
      <c:valAx>
        <c:axId val="79343616"/>
        <c:scaling>
          <c:orientation val="minMax"/>
        </c:scaling>
        <c:axPos val="l"/>
        <c:majorGridlines/>
        <c:numFmt formatCode="General" sourceLinked="1"/>
        <c:tickLblPos val="nextTo"/>
        <c:crossAx val="7896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</c:numRef>
          </c:val>
        </c:ser>
        <c:axId val="85605376"/>
        <c:axId val="93074560"/>
      </c:barChart>
      <c:catAx>
        <c:axId val="85605376"/>
        <c:scaling>
          <c:orientation val="minMax"/>
        </c:scaling>
        <c:axPos val="b"/>
        <c:tickLblPos val="nextTo"/>
        <c:crossAx val="93074560"/>
        <c:crosses val="autoZero"/>
        <c:auto val="1"/>
        <c:lblAlgn val="ctr"/>
        <c:lblOffset val="100"/>
      </c:catAx>
      <c:valAx>
        <c:axId val="93074560"/>
        <c:scaling>
          <c:orientation val="minMax"/>
        </c:scaling>
        <c:axPos val="l"/>
        <c:majorGridlines/>
        <c:numFmt formatCode="General" sourceLinked="1"/>
        <c:tickLblPos val="nextTo"/>
        <c:crossAx val="85605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лет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лет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лет и более</c:v>
                </c:pt>
              </c:strCache>
            </c:strRef>
          </c:cat>
          <c:val>
            <c:numRef>
              <c:f>Лист1!$D$2:$D$5</c:f>
            </c:numRef>
          </c:val>
        </c:ser>
        <c:axId val="184383360"/>
        <c:axId val="79695872"/>
      </c:barChart>
      <c:catAx>
        <c:axId val="184383360"/>
        <c:scaling>
          <c:orientation val="minMax"/>
        </c:scaling>
        <c:axPos val="b"/>
        <c:tickLblPos val="nextTo"/>
        <c:crossAx val="79695872"/>
        <c:crosses val="autoZero"/>
        <c:auto val="1"/>
        <c:lblAlgn val="ctr"/>
        <c:lblOffset val="100"/>
      </c:catAx>
      <c:valAx>
        <c:axId val="79695872"/>
        <c:scaling>
          <c:orientation val="minMax"/>
        </c:scaling>
        <c:axPos val="l"/>
        <c:majorGridlines/>
        <c:numFmt formatCode="General" sourceLinked="1"/>
        <c:tickLblPos val="nextTo"/>
        <c:crossAx val="18438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 до 10 лет</c:v>
                </c:pt>
                <c:pt idx="2">
                  <c:v>от 10 до 20 лет</c:v>
                </c:pt>
                <c:pt idx="3">
                  <c:v>от 20 лет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 до 10 лет</c:v>
                </c:pt>
                <c:pt idx="2">
                  <c:v>от 10 до 20 лет</c:v>
                </c:pt>
                <c:pt idx="3">
                  <c:v>от 20 лет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 до 10 лет</c:v>
                </c:pt>
                <c:pt idx="2">
                  <c:v>от 10 до 20 лет</c:v>
                </c:pt>
                <c:pt idx="3">
                  <c:v>от 20 лет и более</c:v>
                </c:pt>
              </c:strCache>
            </c:strRef>
          </c:cat>
          <c:val>
            <c:numRef>
              <c:f>Лист1!$D$2:$D$5</c:f>
            </c:numRef>
          </c:val>
        </c:ser>
        <c:axId val="47608576"/>
        <c:axId val="47610112"/>
      </c:barChart>
      <c:catAx>
        <c:axId val="47608576"/>
        <c:scaling>
          <c:orientation val="minMax"/>
        </c:scaling>
        <c:axPos val="b"/>
        <c:tickLblPos val="nextTo"/>
        <c:crossAx val="47610112"/>
        <c:crosses val="autoZero"/>
        <c:auto val="1"/>
        <c:lblAlgn val="ctr"/>
        <c:lblOffset val="100"/>
      </c:catAx>
      <c:valAx>
        <c:axId val="47610112"/>
        <c:scaling>
          <c:orientation val="minMax"/>
        </c:scaling>
        <c:axPos val="l"/>
        <c:majorGridlines/>
        <c:numFmt formatCode="General" sourceLinked="1"/>
        <c:tickLblPos val="nextTo"/>
        <c:crossAx val="4760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AE13-598E-4269-BCFC-EE787F38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2019-04-17T06:35:00Z</cp:lastPrinted>
  <dcterms:created xsi:type="dcterms:W3CDTF">2019-03-06T08:14:00Z</dcterms:created>
  <dcterms:modified xsi:type="dcterms:W3CDTF">2019-04-17T06:40:00Z</dcterms:modified>
</cp:coreProperties>
</file>